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F0" w:rsidRPr="00103EF0" w:rsidRDefault="00103EF0" w:rsidP="00103EF0">
      <w:pPr>
        <w:widowControl/>
        <w:shd w:val="clear" w:color="auto" w:fill="FFFFFF"/>
        <w:spacing w:line="900" w:lineRule="atLeast"/>
        <w:jc w:val="center"/>
        <w:outlineLvl w:val="1"/>
        <w:rPr>
          <w:rFonts w:ascii="黑体" w:eastAsia="黑体" w:hAnsi="宋体" w:cs="宋体"/>
          <w:b/>
          <w:bCs/>
          <w:color w:val="333333"/>
          <w:kern w:val="0"/>
          <w:sz w:val="30"/>
          <w:szCs w:val="30"/>
        </w:rPr>
      </w:pPr>
      <w:r w:rsidRPr="00103EF0">
        <w:rPr>
          <w:rFonts w:ascii="黑体" w:eastAsia="黑体" w:hAnsi="宋体" w:cs="宋体" w:hint="eastAsia"/>
          <w:b/>
          <w:bCs/>
          <w:color w:val="333333"/>
          <w:kern w:val="0"/>
          <w:sz w:val="30"/>
          <w:szCs w:val="30"/>
        </w:rPr>
        <w:t>财政部 税务总局《关于调整增值税税率的通知》财税〔2018〕32号</w:t>
      </w:r>
    </w:p>
    <w:p w:rsidR="00103EF0" w:rsidRDefault="00103EF0" w:rsidP="00103EF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各省、自治区、直辖市、计划单列市财政厅（局）、国家税务局、地方税务局，新疆生产建设兵团财政局：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为完善增值税制度，现将调整增值税税率有关政策通知如下：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一、纳税人发生增值税应税销售行为或者进口货物，原适用17%和11%税率的，税率分别调整为16%、10%。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二、纳税人购进农产品，原适用11%扣除率的，扣除率调整为10%。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三、纳税人购进用于生产销售或委托加工16%税率货物的农产品，按照12%的扣除率计算进项税额。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四、原适用17%税率且出口退税率为17%的出口货物，出口退税率调整至16%。原适用11%税率且出口退税率为11%的出口货物、跨境应税行为，出口退税率调整至10%。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五、外贸企业2018年7月31日前出口的第四条所涉货物、销售的第四条所涉跨境应税行为，购进时已按调整前税率征收增值税的，执行调整前的出口退税率；购进时已按调整后税率征收增值税的，执行调整后的出口退税率。生产企业2018年7月31日前出口的第四条所涉货物、销售的第四条所涉跨境应税行为，执行调整前的出口退税率。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调整出口货物退税率的执行时间及出口货物的时间，以出口货物报关单上注明的出口日期为准，调整跨境应税行为退税率的执行时间及销售跨境应税行为的时间，以出口发票的开具日期为准。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lastRenderedPageBreak/>
        <w:t xml:space="preserve">　　六、本通知自2018年5月1日起执行。此前有关规定与本通知规定的增值税税率、扣除率、出口退税率不一致的，以本通知为准。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七、各地要高度重视增值税税率调整工作，做好实施前的各项准备以及实施过程中的监测分析、宣传解释等工作，确保增值税税率调整工作平稳、有序推进。如遇问题，请及时上报财政部和税务总局。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</w:t>
      </w:r>
    </w:p>
    <w:p w:rsidR="00103EF0" w:rsidRDefault="00103EF0" w:rsidP="00103EF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</w:t>
      </w:r>
    </w:p>
    <w:p w:rsidR="00103EF0" w:rsidRDefault="00103EF0" w:rsidP="00103EF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                                                                                  财政部 税务总局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br/>
        <w:t xml:space="preserve">　　                                                                           2018年4月4日</w:t>
      </w:r>
    </w:p>
    <w:p w:rsidR="00F32140" w:rsidRPr="00103EF0" w:rsidRDefault="001D1C28">
      <w:pPr>
        <w:rPr>
          <w:rFonts w:hint="eastAsia"/>
        </w:rPr>
      </w:pPr>
    </w:p>
    <w:sectPr w:rsidR="00F32140" w:rsidRPr="00103EF0" w:rsidSect="00103EF0">
      <w:pgSz w:w="16838" w:h="11906" w:orient="landscape"/>
      <w:pgMar w:top="1800" w:right="1440" w:bottom="180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EF0"/>
    <w:rsid w:val="00022D5E"/>
    <w:rsid w:val="00103EF0"/>
    <w:rsid w:val="001D1C28"/>
    <w:rsid w:val="00A86687"/>
    <w:rsid w:val="00E2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8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03EF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03EF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03E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03EF0"/>
  </w:style>
  <w:style w:type="paragraph" w:styleId="a4">
    <w:name w:val="Balloon Text"/>
    <w:basedOn w:val="a"/>
    <w:link w:val="Char"/>
    <w:uiPriority w:val="99"/>
    <w:semiHidden/>
    <w:unhideWhenUsed/>
    <w:rsid w:val="00103E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3E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2018-05-02T06:50:00Z</dcterms:created>
  <dcterms:modified xsi:type="dcterms:W3CDTF">2018-05-02T07:00:00Z</dcterms:modified>
</cp:coreProperties>
</file>